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Детская онкология-гематология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Детская онкология-гематология | Записей: 1 | Кейс: 2 | Вопросов: 12</w:t>
      </w:r>
    </w:p>
    <w:p>
      <w:r>
        <w:br w:type="page"/>
      </w:r>
    </w:p>
    <w:p>
      <w:pPr>
        <w:pStyle w:val="Heading1"/>
      </w:pPr>
      <w:r>
        <w:t>Детская онкология-гематология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онкология-гематология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 гематолога обратились родители с ребенком 15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изменения в анализах крови. Активных жалоб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При обследовании по поводу рецидивирующих ринитов на фоне хорошего самочувствия в гемограмме 6 месяца назад: лейкоциты 48х109/л (в лейкоцитарной формуле отмечается левой сдвиг до бластов без “провала”); Hb 128 г/л; тромбоциты 520х109/л; СОЭ 4 мм/ч.</w:t>
      </w:r>
    </w:p>
    <w:p>
      <w:pPr>
        <w:spacing w:after="58"/>
      </w:pPr>
      <w:r>
        <w:rPr>
          <w:b w:val="0"/>
          <w:i w:val="0"/>
        </w:rPr>
        <w:t>В последующих анализах крови также отмечался лейкоцитоз до 50х109/л.</w:t>
      </w:r>
    </w:p>
    <w:p>
      <w:pPr>
        <w:spacing w:after="58"/>
      </w:pPr>
      <w:r>
        <w:rPr>
          <w:b w:val="0"/>
          <w:i w:val="0"/>
        </w:rPr>
        <w:t>Обследован в стационаре 4 месяца назад. По результатам миелограммы и иммунофенотипирования костного мозга данных за острый лейкоз не получено. Была проведена биопсия шейного лимфоузла справа, в заключении - цитограмма злокачественного образования, желательно проведение иммуногистохимического исследования.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1 беременности, 1 самостоятельных срочных родов. Течение беременности: без осложнений. Масса тела при рождении 3100 г, длина 48 см. Закричал сразу. К груди приложен в 1-е сутки. БЦЖ проведено в роддоме. Естественное вскармливание до 6 мес. Профилактические прививки: по календарю. Перенесенные заболевания: ОРВИ, ветряная оспа. Перенесенные операции: месяц назад - биопсия шейного лимфоузла справа.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Состояние: тяжелое по основному заболеванию. +</w:t>
        <w:br/>
        <w:t>Самочувствие: не страдает. +</w:t>
        <w:br/>
        <w:t>Сознание: ясное. +</w:t>
        <w:br/>
        <w:t>Кожные покровы: физиологической окраски, чистые, умеренной влажности. Слизистые оболочки: бледно-розовые, чистые, розовые. +</w:t>
        <w:br/>
        <w:t>Лимфатическая система: пальпируются по основным группам без особенностей. +</w:t>
        <w:br/>
        <w:t>Костно-мышечная система: без особенностей. +</w:t>
        <w:br/>
        <w:t>Органы дыхания: Носовое дыхание не затруднено. Аускультативно дыхание везикулярное, выслушивается по всем полям, хрипов нет. +</w:t>
        <w:br/>
        <w:t>Сердечно-сосудистая система: Тоны сердца ясные, ритм правильный. Шумы не выслушиваются. +</w:t>
        <w:br/>
        <w:t>Пищеварительная система: Живот при пальпации мягкий, безболезненный во всех отделах, доступен глубокой пальпации. Печень: у края реберной дуги. Селезёнка: не пальпируется. Мочевыводящая система: Мочеиспускание свободное, безболезненное. Эндокринная система: повышенного питания. +</w:t>
        <w:br/>
        <w:t>Неврологический статус: Грубой очаговой и менингеальной симптоматики на момент осмотра не выявлено. +</w:t>
        <w:br/>
        <w:t>Стул: регулярный, оформленный, без пат. примесей.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стандартное цитогенетическое исследование костного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 с подсчетом количества тромбоцитов и лейкоцитарной формулы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молекулярно-генетическое исследование периферической крови: определение экспрессии химерного транскрипта BCR-ABL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морфологическое исследование костного мозга (миелограмма)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исследование гемостаза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стандартное цитогенетическое исследование костного мозга; клинический анализ крови с подсчетом количества тромбоцитов и лейкоцитарной формулы; биохимический анализ крови; молекулярно-генетическое исследование периферической крови: определение экспрессии химерного транскрипта BCR-ABL; морфологическое исследование костного мозга (миелограмма)</w:t>
      </w:r>
    </w:p>
    <w:p>
      <w:pPr>
        <w:ind w:left="504"/>
      </w:pPr>
      <w:r>
        <w:rPr>
          <w:b w:val="0"/>
          <w:i/>
        </w:rPr>
        <w:t>Стандартное цитогенетическое исследование (СЦИ) костного мозга: подтверждение наличия транслокации t(9;22)(q34;q11) (Ph-хромосомы). При неинформативности СЦИ (нет митозов, неудовлетворительное качество материала) показано исследование костного мозга методом FISH: выявление химерного гена _BCR-ABL_;</w:t>
        <w:br/>
        <w:br/>
        <w:t>Клинические рекомендации «Хронический миелолейкоз у взрослых», 2017 Раздел «Лабораторная диагностика»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миелолейкоз у взрослых, 2017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*Рекомендуется* проводить лабораторные исследования при установлении диагноза ХМЛ [2][3] [28][29]:</w:t>
        <w:br/>
        <w:br/>
        <w:t>*Обязательные исследования:*</w:t>
        <w:br/>
        <w:br/>
        <w:t>* Клинический анализ крови с подсчетом лейкоцитарной формулы и определением уровня тромбоцитов;</w:t>
        <w:br/>
        <w:br/>
        <w:t>Клинические рекомендации «Хронический миелолейкоз у взрослых», 2017 Раздел «Лабораторная диагностика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миелолейкоз у взрослых, 2017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Биохимические показатели крови: общий билирубин, АСТ, АЛТ, ЛДГ, мочевая кислота, мочевина, креатинин, общий белок, альбумин, щелочная фосфатаза, электролиты (калий, натрий, кальций, фосфор, магний), амилаза, липаза, глюкоза, общий холестерин, липиды высокой и низкой плотности;</w:t>
        <w:br/>
        <w:br/>
        <w:t>Клинические рекомендации «Хронический миелолейкоз у взрослых», 2017 Раздел «Лабораторная диагностика»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миелолейкоз у взрослых, 2017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Молекулярно-генетическое исследование периферической крови: определение экспрессии химерного транскрипта _BCR-ABL_ p210 методом качественной и количественной ПЦР;</w:t>
        <w:br/>
        <w:br/>
        <w:t>Клинические рекомендации «Хронический миелолейкоз у взрослых», 2017  Раздел «Лабораторная диагностика»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миелолейкоз у взрослых, 2017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Морфологическое исследование пунктата костного мозга (миелограмма);</w:t>
        <w:br/>
        <w:br/>
        <w:t>Клинические рекомендации «Хронический миелолейкоз у взрослых», 2017 Раздел «Лабораторная диагностика»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миелолейкоз у взрослых, 2017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холтеровское мониторирование электрокардиограммы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магнитно-резонансная томография 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компьютерная томография органов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органов грудной клетки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ультразвуковое исследование органов брюшной полости и почек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электрокардиография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ультразвуковое исследование органов брюшной полости и почек; электрокардиография</w:t>
      </w:r>
    </w:p>
    <w:p>
      <w:pPr>
        <w:ind w:left="504"/>
      </w:pPr>
      <w:r>
        <w:rPr>
          <w:b w:val="0"/>
          <w:i/>
        </w:rPr>
        <w:t>Ультразвуковое исследование органов брюшной полости: печени, селезенки, размеров периферических лимфоузлов;</w:t>
        <w:br/>
        <w:br/>
        <w:t>Клинические рекомендации «Хронический миелолейкоз у взрослых», 2017 Раздел «Инструментальная диагностика»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миелолейкоз у взрослых, 2017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ЭКГ стандартная в 12 отведениях (с определением QTcB, QTcF);</w:t>
        <w:br/>
        <w:br/>
        <w:t>Клинические рекомендации «Хронический миелолейкоз у взрослых», 2017 Раздел «Инструментальная диагностика»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миелолейкоз у взрослых, 2017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данном случае можно предположить в качестве основного диагноза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Острый миелоидный лейкоз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Острый лимфобластный лейкоз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Хронический миелоидный лейкоз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Миелодиспластический синдром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Хронический миелоидный лейкоз</w:t>
      </w:r>
    </w:p>
    <w:p>
      <w:pPr>
        <w:ind w:left="504"/>
      </w:pPr>
      <w:r>
        <w:rPr>
          <w:b w:val="0"/>
          <w:i/>
        </w:rPr>
        <w:t>Диагноз ХМЛ устанавливается на основании данных клинико-лабораторных исследований при обязательном обнаружении Ph-хромосомы и/или химерного гена _BCR-AB_</w:t>
        <w:br/>
        <w:br/>
      </w:r>
      <w:hyperlink r:id="rId17">
        <w:r>
          <w:rPr>
            <w:color w:val="0F766E"/>
            <w:u w:val="single"/>
          </w:rPr>
          <w:t>Клинические рекомендации по диагностике и лечению хронического миелолейкоза, 2013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Стадией заболевания в данном клиническом случае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первый острый период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хроническая фаза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фаза акселерации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фаза бластного криза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хроническая фаза</w:t>
      </w:r>
    </w:p>
    <w:p>
      <w:pPr>
        <w:ind w:left="504"/>
      </w:pPr>
      <w:r>
        <w:rPr>
          <w:b w:val="0"/>
          <w:i/>
        </w:rPr>
        <w:t>Диагноз ХФ устанавливают при отсутствии признаков ФА и БК.</w:t>
        <w:br/>
        <w:br/>
        <w:t>Клинические рекомендации по диагностике и лечению хронического миелолейкоза</w:t>
        <w:br/>
        <w:br/>
      </w:r>
      <w:hyperlink r:id="rId17">
        <w:r>
          <w:rPr>
            <w:color w:val="0F766E"/>
            <w:u w:val="single"/>
          </w:rPr>
          <w:t>Клинические рекомендации по диагностике и лечению хронического миелолейкоза, 2013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Основной тактикой лечения хронического миелолейкоза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терапия ингибиторами янус-киназ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терапия ингибиторами тирозинкиназ (ИТК)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терапия ингибиторами протеасом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химиотерапия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терапия ингибиторами тирозинкиназ (ИТК)</w:t>
      </w:r>
    </w:p>
    <w:p>
      <w:pPr>
        <w:ind w:left="504"/>
      </w:pPr>
      <w:r>
        <w:rPr>
          <w:b w:val="0"/>
          <w:i/>
        </w:rPr>
        <w:t>После подтверждения диагноза ХМЛ должна быть начата терапия ИТК.</w:t>
        <w:br/>
        <w:br/>
        <w:t>Клинические рекомендации по диагностике и лечению хронического миелолейкоза</w:t>
        <w:br/>
        <w:br/>
      </w:r>
      <w:hyperlink r:id="rId17">
        <w:r>
          <w:rPr>
            <w:color w:val="0F766E"/>
            <w:u w:val="single"/>
          </w:rPr>
          <w:t>Клинические рекомендации по диагностике и лечению хронического миелолейкоза, 2013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Единственным ингибитором тирозинкиназ, разрешенным для применения у детей при хроническом миелолейкозе (с 2-х лет) в РФ,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нилотиниб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понатиниб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иматиниб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бозутиниб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иматиниб</w:t>
      </w:r>
    </w:p>
    <w:p>
      <w:pPr>
        <w:ind w:left="504"/>
      </w:pPr>
      <w:r>
        <w:rPr>
          <w:b w:val="0"/>
          <w:i/>
        </w:rPr>
        <w:t>Для первой линии лечения ХМЛ в настоящее время зарегистрированы иматиниб, нилотиниб, дазатиниб (бозутиниб не зарегистрирован для применения в первой линии). Необходимо отметить, что абсолютных противопоказаний для использования ИТК у больных ХМЛ нет. При выборе конкретного препарата в первую и последующие линии лечения необходимо учитывать фазу ХМЛ, сопутствующую патологию и риск развития побочных эффектов в процессе терапии, а также спектр мутаций гена BCR-ABL.</w:t>
        <w:br/>
        <w:br/>
        <w:t>Клинические рекомендации по диагностике и лечению хронического миелолейкоза</w:t>
        <w:br/>
        <w:br/>
      </w:r>
      <w:hyperlink r:id="rId17">
        <w:r>
          <w:rPr>
            <w:color w:val="0F766E"/>
            <w:u w:val="single"/>
          </w:rPr>
          <w:t>Клинические рекомендации по диагностике и лечению хронического миелолейкоза, 2013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профилактики осложнений, связанных с синдромом лизиса опухоли в период циторедукции, обязательным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применение гепатопротекторов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применение глюкокортикостероидов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проведение инфузионной терапии до 2-2,5 л/м2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применение химиотерапии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проведение инфузионной терапии до 2-2,5 л/м2</w:t>
      </w:r>
    </w:p>
    <w:p>
      <w:pPr>
        <w:ind w:left="504"/>
      </w:pPr>
      <w:r>
        <w:rPr>
          <w:b w:val="0"/>
          <w:i/>
        </w:rPr>
        <w:t>Для профилактики синдрома лизиса опухоли и борьбы с ним показано проведение гипергидратации и форсированного диуреза</w:t>
        <w:br/>
        <w:br/>
        <w:t>Неотложная педиатрия : национальное руководство / под ред. Б. М. Блохина. - Москва : ГЭОТАР-Медиа, 2017. - 832 с. : ил. - 832 с. - ISBN 978-5-9704-5044-4.</w:t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по диагностике и лечению хронического миелолейкоза</w:t>
        <w:br/>
        <w:br/>
      </w:r>
      <w:hyperlink r:id="rId17">
        <w:r>
          <w:rPr>
            <w:color w:val="0F766E"/>
            <w:u w:val="single"/>
          </w:rPr>
          <w:t>Клинические рекомендации по диагностике и лечению хронического миелолейкоза, 2013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уменьшения опухолевой массы в дебюте заболевания рекомендована циторедуктивная 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пегилированным интерфероном 2-бета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метотрексатом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дексаметазоном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гидроксикарбамидом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гидроксикарбамидом</w:t>
      </w:r>
    </w:p>
    <w:p>
      <w:pPr>
        <w:ind w:left="504"/>
      </w:pPr>
      <w:r>
        <w:rPr>
          <w:b w:val="0"/>
          <w:i/>
        </w:rPr>
        <w:t>Циторедуктивная и цитостатическая терапия</w:t>
        <w:br/>
        <w:br/>
        <w:t>В ХФ ХМЛ применение химиопрепаратов проводится в режиме монохимиотерапии, которая назначается в следующих случаях (уровень доказательности D):</w:t>
        <w:br/>
        <w:br/>
        <w:t>* больным для уменьшения массы опухоли на период обследования (исследования кариотипа) и для поддержания гематологического ответа;</w:t>
        <w:br/>
        <w:br/>
        <w:t>* когда проведение другой терапии невозможно: резистентность и/или непереносимость ИТК.</w:t>
        <w:br/>
        <w:br/>
        <w:t>Наиболее часто используются следующие препараты: Гидроксикарбамид (Гидреа®, Гидроксикарбамид медок®, Гидроксиуреа®) в дозе 10-50 мг/кг/сут в зависимости от показателей анализа крови (прил.5), Меркаптопурин (Меркаптопурин, Пури-Нетол®), Цитарабин (Алексан®, Цитарабин, Цитарабин-ЛЭНС, Цитозар®, Цитостадин®).</w:t>
        <w:br/>
        <w:br/>
        <w:t>Больным в ФА и БК может проводиться полихимиотерапия по схемам лечения острых лейкозов в зависимости от фенотипа бластов, с включением ИТК.</w:t>
        <w:br/>
        <w:br/>
        <w:t>Клинические рекомендации по диагностике и лечению хронического миелолейкоза</w:t>
        <w:br/>
        <w:br/>
      </w:r>
      <w:hyperlink r:id="rId17">
        <w:r>
          <w:rPr>
            <w:color w:val="0F766E"/>
            <w:u w:val="single"/>
          </w:rPr>
          <w:t>Клинические рекомендации по диагностике и лечению хронического миелолейкоза, 2013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Терапия ингибиторами тирозинкиназ при хроническом миелолейкозе назначается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количестве лейкоцитов менее 50 х109/л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 количестве лейкоцитов менее 25 х109/л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в фазе акселерации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 любом количестве лейкоцитов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любом количестве лейкоцитов</w:t>
      </w:r>
    </w:p>
    <w:p>
      <w:pPr>
        <w:ind w:left="504"/>
      </w:pPr>
      <w:r>
        <w:rPr>
          <w:b w:val="0"/>
          <w:i/>
        </w:rPr>
        <w:t>После подтверждения диагноза ХМЛ должна быть начата терапия ИТК.</w:t>
        <w:br/>
        <w:br/>
        <w:t>Лечение может проводиться в амбулаторных условиях, прием ИТК можно начинать при любом числе лейкоцитов (уровень доказательности А).</w:t>
        <w:br/>
        <w:br/>
        <w:t>Клинические рекомендации по диагностике и лечению хронического миелолейкоза</w:t>
        <w:br/>
        <w:br/>
      </w:r>
      <w:hyperlink r:id="rId17">
        <w:r>
          <w:rPr>
            <w:color w:val="0F766E"/>
            <w:u w:val="single"/>
          </w:rPr>
          <w:t>Клинические рекомендации по диагностике и лечению хронического миелолейкоза, 2013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хроническом миелолейкозе рекомендован +_____+ ингибиторов тирозинкиназ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непрерывный прием в течение 2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прием курсами по 21 день с перерывом по 7 дней до достижения 18 летнего возраста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непрерывный ежедневный, длительный (постоянный) прием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прием курсами по 21 день с перерывом по 7 дней в течение 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непрерывный ежедневный, длительный (постоянный) прием</w:t>
      </w:r>
    </w:p>
    <w:p>
      <w:pPr>
        <w:ind w:left="504"/>
      </w:pPr>
      <w:r>
        <w:rPr>
          <w:b w:val="0"/>
          <w:i/>
        </w:rPr>
        <w:t>*Рекомендуется* терапия ИТК в непрерывном режиме - ежедневно, длительно, постоянно. Начальная доза ИТК не зависит от пола, массы тела, роста, расы пациента. Прием ИТК можно начинать при любом числе лейкоцитов [2][28][29][34][35][36][37].</w:t>
        <w:br/>
        <w:br/>
        <w:t>Клинические рекомендации Хронический миелолейкоз у взрослых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миелолейкоз у взрослых, 2017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неэффективности терапии иматинибом, обусловленной мутацией в гене _BCR-ABL T315I_,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назначение нилотиниба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назначение руксолитиниба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HLA-типирование больного, поиск родственного или неродственного донора, решение вопроса о алло-ТГСК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назначение дазатиниба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HLA-типирование больного, поиск родственного или неродственного донора, решение вопроса о алло-ТГСК</w:t>
      </w:r>
    </w:p>
    <w:p>
      <w:pPr>
        <w:ind w:left="504"/>
      </w:pPr>
      <w:r>
        <w:rPr>
          <w:b w:val="0"/>
          <w:i/>
        </w:rPr>
        <w:t>При выявлении данной мутации рекомендуется поиск HLA-идентичного донора, выполнение алло-ТГСК либо включение такого пациента в клинические исследования. При невозможности алло-ТГСК в качестве альтернативного лечения назначаются гидроксимочевина, курсы малых доз цитозара, курсы полихимиотерапии, интерферонотерапия. Препаратом выбора у больных ХМЛ с мутацией T315I, является недавно одобренный к применению в США препарат ИТК - понатиниб (Iclusig®, Ariad, США), однако, в настоящее время препарат не зарегистрирован в РФ. Терапия всеми перечисленными ИТК (иматиниб, нилотиниб, дазатиниб, бозутиниб) имеет низкую эффективность при наличии мутации T315I [29-31, 65, 66].</w:t>
        <w:br/>
        <w:br/>
        <w:t>Клинические рекомендации по диагностике и лечению хронического миелолейкоза</w:t>
        <w:br/>
        <w:br/>
      </w:r>
      <w:hyperlink r:id="rId17">
        <w:r>
          <w:rPr>
            <w:color w:val="0F766E"/>
            <w:u w:val="single"/>
          </w:rPr>
          <w:t>Клинические рекомендации по диагностике и лечению хронического миелолейкоза, 2013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Фаза бластного криза при хроническом миелолейкозе, согласно классификации ELN, устанавливается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лейкоцитозе ≥100 х109/л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количестве базофилов в периферической крови ≥20%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наличии в периферической крови или в костном мозге ≥ 30% бластных клеток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персистирующей тромбоцитопении с числом тромбоцитов &lt;100 ×109/л, не связанной с терапией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наличии в периферической крови или в костном мозге ≥ 30% бластных клеток</w:t>
      </w:r>
    </w:p>
    <w:p>
      <w:pPr>
        <w:ind w:left="504"/>
      </w:pPr>
      <w:r>
        <w:rPr>
          <w:b w:val="0"/>
          <w:i/>
        </w:rPr>
        <w:t>Таблица 1. Фазы ХМЛ по классификациям ELN</w:t>
        <w:br/>
        <w:br/>
        <w:t>[cols="10%,90%",options="header"]</w:t>
        <w:br/>
        <w:br/>
        <w:t xml:space="preserve"> a| Фаза ХМЛ  a| Классификация ELN</w:t>
        <w:br/>
        <w:br/>
        <w:t xml:space="preserve"> a| ХФ a| Отсутствие признаков ФА или БК</w:t>
        <w:br/>
        <w:br/>
        <w:t xml:space="preserve"> a| ФА a| * 15-29% бластных клеток в периферической крови и/или костном мозге;</w:t>
        <w:br/>
        <w:br/>
        <w:t>* сумма бластов и промиелоцитов ≥30% (при этом бластов &lt;30%);</w:t>
        <w:br/>
        <w:br/>
        <w:t>* количество базофилов в крови ≥ 20%;</w:t>
        <w:br/>
        <w:br/>
        <w:t>* персистирующая тромбоцитопения &lt;100 х 109^/л не связанная с терапией;</w:t>
        <w:br/>
        <w:br/>
        <w:t>* некоторые ДХА* в Ph-положительных клетках, при терапии</w:t>
        <w:br/>
        <w:br/>
        <w:t xml:space="preserve"> a| БК a| наличие в периферической крови или в костном мозге ≥ 30% бластных клеток появление экстрамедуллярных инфильтратов бластных клеток</w:t>
        <w:br/>
        <w:br/>
        <w:t>{nbsp}</w:t>
        <w:br/>
        <w:br/>
        <w:t>*трисомия по 8, 19 хромосоме, удвоение Ph-хромосомы (+der(22)t(9;22)(q34;q11)), изохромосома 17 (i(17)(q10)), -7/del7q и перестройки 3(q26.2), –Y – выявление на фоне терапии [37]</w:t>
        <w:br/>
        <w:br/>
        <w:t>ФА или БК устанавливают при наличии хотя бы одного критерия</w:t>
        <w:br/>
        <w:br/>
        <w:t>Клинические рекомендации по диагностике и лечению хронического миелолейкоза</w:t>
        <w:br/>
        <w:br/>
      </w:r>
      <w:hyperlink r:id="rId17">
        <w:r>
          <w:rPr>
            <w:color w:val="0F766E"/>
            <w:u w:val="single"/>
          </w:rPr>
          <w:t>Клинические рекомендации по диагностике и лечению хронического миелолейкоза, 2013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120/" TargetMode="External"/><Relationship Id="rId10" Type="http://schemas.openxmlformats.org/officeDocument/2006/relationships/hyperlink" Target="https://library.mededtech.ru/rest/documents/cr_120/#list_item_m8hl5" TargetMode="External"/><Relationship Id="rId11" Type="http://schemas.openxmlformats.org/officeDocument/2006/relationships/hyperlink" Target="https://library.mededtech.ru/rest/documents/cr_120/#list_item_1d1mf" TargetMode="External"/><Relationship Id="rId12" Type="http://schemas.openxmlformats.org/officeDocument/2006/relationships/hyperlink" Target="https://library.mededtech.ru/rest/documents/cr_120/#list_item_uqurb" TargetMode="External"/><Relationship Id="rId13" Type="http://schemas.openxmlformats.org/officeDocument/2006/relationships/hyperlink" Target="https://library.mededtech.ru/rest/documents/cr_120/#list_item_vhuch" TargetMode="External"/><Relationship Id="rId14" Type="http://schemas.openxmlformats.org/officeDocument/2006/relationships/hyperlink" Target="https://library.mededtech.ru/rest/documents/cr_120/#list_item_5q9f8" TargetMode="External"/><Relationship Id="rId15" Type="http://schemas.openxmlformats.org/officeDocument/2006/relationships/hyperlink" Target="https://library.mededtech.ru/rest/documents/cr_120/#list_item_hje2f" TargetMode="External"/><Relationship Id="rId16" Type="http://schemas.openxmlformats.org/officeDocument/2006/relationships/hyperlink" Target="https://library.mededtech.ru/rest/documents/cr_120/#list_item_pri1p" TargetMode="External"/><Relationship Id="rId17" Type="http://schemas.openxmlformats.org/officeDocument/2006/relationships/hyperlink" Target="https://library.mededtech.ru/rest/documents/73f164-2927-4bfd-85cf-45fda23453_2/" TargetMode="External"/><Relationship Id="rId18" Type="http://schemas.openxmlformats.org/officeDocument/2006/relationships/hyperlink" Target="https://library.mededtech.ru/rest/documents/73f164-2927-4bfd-85cf-45fda23453_2/#paragraph_k5mtvj" TargetMode="External"/><Relationship Id="rId19" Type="http://schemas.openxmlformats.org/officeDocument/2006/relationships/hyperlink" Target="https://library.mededtech.ru/rest/documents/73f164-2927-4bfd-85cf-45fda23453_2/#paragraph_13bbjo" TargetMode="External"/><Relationship Id="rId20" Type="http://schemas.openxmlformats.org/officeDocument/2006/relationships/hyperlink" Target="https://library.mededtech.ru/rest/documents/73f164-2927-4bfd-85cf-45fda23453_2/#paragraph_9p7v5h" TargetMode="External"/><Relationship Id="rId21" Type="http://schemas.openxmlformats.org/officeDocument/2006/relationships/hyperlink" Target="https://library.mededtech.ru/rest/documents/73f164-2927-4bfd-85cf-45fda23453_2/#paragraph_3oddu7" TargetMode="External"/><Relationship Id="rId22" Type="http://schemas.openxmlformats.org/officeDocument/2006/relationships/hyperlink" Target="https://library.mededtech.ru/rest/documents/ISBN9785970450444/?anchor=list_item_i72725#list_item_i72725" TargetMode="External"/><Relationship Id="rId23" Type="http://schemas.openxmlformats.org/officeDocument/2006/relationships/hyperlink" Target="https://library.mededtech.ru/rest/documents/73f164-2927-4bfd-85cf-45fda23453_2/#paragraph_4cge5q" TargetMode="External"/><Relationship Id="rId24" Type="http://schemas.openxmlformats.org/officeDocument/2006/relationships/hyperlink" Target="https://library.mededtech.ru/rest/documents/73f164-2927-4bfd-85cf-45fda23453_2/#&#1062;&#1080;&#1090;&#1086;&#1088;&#1077;&#1076;&#1091;&#1082;&#1090;&#1080;&#1074;&#1085;&#1072;&#1103;_&#1080;_&#1094;&#1080;&#1090;&#1086;&#1089;&#1090;&#1072;&#1090;&#1080;&#1095;&#1077;&#1089;&#1082;&#1072;&#1103;_&#1090;&#1077;&#1088;&#1072;&#1087;&#1080;&#1103;" TargetMode="External"/><Relationship Id="rId25" Type="http://schemas.openxmlformats.org/officeDocument/2006/relationships/hyperlink" Target="https://library.mededtech.ru/rest/documents/73f164-2927-4bfd-85cf-45fda23453_2/#paragraph_5p9kar" TargetMode="External"/><Relationship Id="rId26" Type="http://schemas.openxmlformats.org/officeDocument/2006/relationships/hyperlink" Target="https://library.mededtech.ru/rest/documents/cr_120/#list_item_cabd2" TargetMode="External"/><Relationship Id="rId27" Type="http://schemas.openxmlformats.org/officeDocument/2006/relationships/hyperlink" Target="https://library.mededtech.ru/rest/documents/73f164-2927-4bfd-85cf-45fda23453_2/#paragraph_3d3rlo" TargetMode="External"/><Relationship Id="rId28" Type="http://schemas.openxmlformats.org/officeDocument/2006/relationships/hyperlink" Target="https://library.mededtech.ru/rest/documents/73f164-2927-4bfd-85cf-45fda23453_2/#l29" TargetMode="External"/><Relationship Id="rId29" Type="http://schemas.openxmlformats.org/officeDocument/2006/relationships/hyperlink" Target="https://library.mededtech.ru/rest/documents/73f164-2927-4bfd-85cf-45fda23453_2/#tab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